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CC" w:rsidRPr="00055E08" w:rsidRDefault="003526AC" w:rsidP="006A022D">
      <w:pPr>
        <w:jc w:val="center"/>
        <w:rPr>
          <w:rFonts w:hint="eastAsia"/>
          <w:b/>
          <w:sz w:val="24"/>
        </w:rPr>
      </w:pPr>
      <w:r>
        <w:rPr>
          <w:b/>
          <w:sz w:val="24"/>
        </w:rPr>
        <w:t>次期総合戦略の策定等について</w:t>
      </w:r>
    </w:p>
    <w:p w:rsidR="006A022D" w:rsidRDefault="006A022D"/>
    <w:p w:rsidR="006A022D" w:rsidRPr="000E24F5" w:rsidRDefault="000E24F5">
      <w:pPr>
        <w:rPr>
          <w:b/>
          <w:sz w:val="24"/>
        </w:rPr>
      </w:pPr>
      <w:r>
        <w:rPr>
          <w:b/>
          <w:sz w:val="24"/>
        </w:rPr>
        <w:t>１．</w:t>
      </w:r>
      <w:r w:rsidR="006A022D" w:rsidRPr="000E24F5">
        <w:rPr>
          <w:b/>
          <w:sz w:val="24"/>
        </w:rPr>
        <w:t>延長の趣旨</w:t>
      </w:r>
    </w:p>
    <w:p w:rsidR="006A022D" w:rsidRDefault="006A022D">
      <w:r>
        <w:t xml:space="preserve">　本町では、平成</w:t>
      </w:r>
      <w:r>
        <w:rPr>
          <w:rFonts w:hint="eastAsia"/>
        </w:rPr>
        <w:t>2</w:t>
      </w:r>
      <w:r>
        <w:t>7</w:t>
      </w:r>
      <w:r>
        <w:t>（</w:t>
      </w:r>
      <w:r>
        <w:rPr>
          <w:rFonts w:hint="eastAsia"/>
        </w:rPr>
        <w:t>2015</w:t>
      </w:r>
      <w:r>
        <w:t>）年</w:t>
      </w:r>
      <w:r>
        <w:rPr>
          <w:rFonts w:hint="eastAsia"/>
        </w:rPr>
        <w:t>10</w:t>
      </w:r>
      <w:r>
        <w:rPr>
          <w:rFonts w:hint="eastAsia"/>
        </w:rPr>
        <w:t>月に、「中富良野町地域総合戦略（期間：平成</w:t>
      </w:r>
      <w:r>
        <w:rPr>
          <w:rFonts w:hint="eastAsia"/>
        </w:rPr>
        <w:t>27</w:t>
      </w:r>
      <w:r>
        <w:rPr>
          <w:rFonts w:hint="eastAsia"/>
        </w:rPr>
        <w:t>（</w:t>
      </w:r>
      <w:r>
        <w:rPr>
          <w:rFonts w:hint="eastAsia"/>
        </w:rPr>
        <w:t>2015</w:t>
      </w:r>
      <w:r>
        <w:rPr>
          <w:rFonts w:hint="eastAsia"/>
        </w:rPr>
        <w:t>）年度から令和元（</w:t>
      </w:r>
      <w:r>
        <w:rPr>
          <w:rFonts w:hint="eastAsia"/>
        </w:rPr>
        <w:t>2019</w:t>
      </w:r>
      <w:r>
        <w:rPr>
          <w:rFonts w:hint="eastAsia"/>
        </w:rPr>
        <w:t>）年度）」を策定し、総合戦略に基づく取り組みを推進しているところですが、令和元（</w:t>
      </w:r>
      <w:r>
        <w:rPr>
          <w:rFonts w:hint="eastAsia"/>
        </w:rPr>
        <w:t>2019</w:t>
      </w:r>
      <w:r>
        <w:rPr>
          <w:rFonts w:hint="eastAsia"/>
        </w:rPr>
        <w:t>）年６月</w:t>
      </w:r>
      <w:r>
        <w:rPr>
          <w:rFonts w:hint="eastAsia"/>
        </w:rPr>
        <w:t>2</w:t>
      </w:r>
      <w:r>
        <w:t>1</w:t>
      </w:r>
      <w:r>
        <w:t>日に閣議決定された「まち・ひと・しごと創生基本方針</w:t>
      </w:r>
      <w:r>
        <w:rPr>
          <w:rFonts w:hint="eastAsia"/>
        </w:rPr>
        <w:t>2019</w:t>
      </w:r>
      <w:r>
        <w:t>」では、令和２（</w:t>
      </w:r>
      <w:r>
        <w:rPr>
          <w:rFonts w:hint="eastAsia"/>
        </w:rPr>
        <w:t>2020</w:t>
      </w:r>
      <w:r>
        <w:rPr>
          <w:rFonts w:hint="eastAsia"/>
        </w:rPr>
        <w:t>）年以降の次期５ヶ年の総合戦略の策定に取り組むこと及び各地方公共団体においても次期地方版総合戦略の策定を進める必要性が示されております。</w:t>
      </w:r>
    </w:p>
    <w:p w:rsidR="006A022D" w:rsidRDefault="006A022D">
      <w:r>
        <w:t xml:space="preserve">　一方で、本町の最上位計画である</w:t>
      </w:r>
      <w:r w:rsidR="00572DFA">
        <w:t>「第５期中富良野町まちづくり総合計画」の計画期間が</w:t>
      </w:r>
      <w:r w:rsidR="00572DFA">
        <w:rPr>
          <w:rFonts w:hint="eastAsia"/>
        </w:rPr>
        <w:t>令和２（</w:t>
      </w:r>
      <w:r w:rsidR="00572DFA">
        <w:rPr>
          <w:rFonts w:hint="eastAsia"/>
        </w:rPr>
        <w:t>2020</w:t>
      </w:r>
      <w:r w:rsidR="00572DFA">
        <w:rPr>
          <w:rFonts w:hint="eastAsia"/>
        </w:rPr>
        <w:t>）年度で満了することから、今年度より第６期中富良野町まちづくり総合計画策定に向けて準備を進めているところです。</w:t>
      </w:r>
      <w:bookmarkStart w:id="0" w:name="_GoBack"/>
      <w:bookmarkEnd w:id="0"/>
    </w:p>
    <w:p w:rsidR="00572DFA" w:rsidRDefault="00572DFA">
      <w:r>
        <w:t xml:space="preserve">　「中富良野町地域総合戦略」は、まちづくり総合計画の将来像及び基本目標を踏まえた上で、さらに地方創生・人口減少克服という構造的課題の解決に向けて、町や起業、住民等が進めていくべき取組内容を具体的に掲げるものであります。そのため「総合計画」、「総合戦略」の双方は関連性が高いことから整合性を図る必要があります。</w:t>
      </w:r>
    </w:p>
    <w:p w:rsidR="00572DFA" w:rsidRDefault="00572DFA">
      <w:r>
        <w:t xml:space="preserve">　よって、双方の取組を効果的・合理的に進めるためにも、「次期総合戦略」の計画期間を「第６期中富良野町まちづくり総合計画」に合わせ、１年延長させ、見直しを行うこととするも</w:t>
      </w:r>
      <w:r w:rsidR="00371B0A">
        <w:t>の</w:t>
      </w:r>
      <w:r>
        <w:t>です。</w:t>
      </w:r>
    </w:p>
    <w:p w:rsidR="00572DFA" w:rsidRDefault="00572DFA">
      <w:r>
        <w:t xml:space="preserve">　なお、内閣府からは、「地方版総合戦略に切れ目が生じないものであれば、各地方団体の</w:t>
      </w:r>
      <w:r w:rsidR="00371B0A">
        <w:t>実情に応じた計画期間を設定することも、やむを得ない。</w:t>
      </w:r>
      <w:r w:rsidR="00055E08">
        <w:t>（</w:t>
      </w:r>
      <w:r w:rsidR="00055E08">
        <w:rPr>
          <w:rFonts w:hint="eastAsia"/>
        </w:rPr>
        <w:t>2019.3.27</w:t>
      </w:r>
      <w:r w:rsidR="00055E08">
        <w:rPr>
          <w:rFonts w:hint="eastAsia"/>
        </w:rPr>
        <w:t>第１期「まち・ひと・しごと創生総合戦略」に関する検証会（第３回資料）</w:t>
      </w:r>
      <w:r w:rsidR="00055E08">
        <w:t>）</w:t>
      </w:r>
      <w:r>
        <w:t>」</w:t>
      </w:r>
      <w:r w:rsidR="00371B0A">
        <w:t>と示されています。</w:t>
      </w:r>
    </w:p>
    <w:p w:rsidR="00371B0A" w:rsidRDefault="00371B0A">
      <w:r>
        <w:t xml:space="preserve">　</w:t>
      </w:r>
    </w:p>
    <w:p w:rsidR="00371B0A" w:rsidRDefault="00371B0A"/>
    <w:p w:rsidR="00371B0A" w:rsidRPr="000E24F5" w:rsidRDefault="00371B0A">
      <w:pPr>
        <w:rPr>
          <w:b/>
          <w:sz w:val="24"/>
        </w:rPr>
      </w:pPr>
      <w:r w:rsidRPr="000E24F5">
        <w:rPr>
          <w:b/>
          <w:sz w:val="24"/>
        </w:rPr>
        <w:t>２．第６期まちづくり総合計画と次期総合戦略の計画期間</w:t>
      </w:r>
    </w:p>
    <w:p w:rsidR="000E0D9D" w:rsidRDefault="000E0D9D"/>
    <w:tbl>
      <w:tblPr>
        <w:tblStyle w:val="a3"/>
        <w:tblW w:w="8788" w:type="dxa"/>
        <w:tblInd w:w="-5" w:type="dxa"/>
        <w:tblLook w:val="04A0" w:firstRow="1" w:lastRow="0" w:firstColumn="1" w:lastColumn="0" w:noHBand="0" w:noVBand="1"/>
      </w:tblPr>
      <w:tblGrid>
        <w:gridCol w:w="705"/>
        <w:gridCol w:w="684"/>
        <w:gridCol w:w="833"/>
        <w:gridCol w:w="833"/>
        <w:gridCol w:w="833"/>
        <w:gridCol w:w="952"/>
        <w:gridCol w:w="830"/>
        <w:gridCol w:w="851"/>
        <w:gridCol w:w="709"/>
        <w:gridCol w:w="1558"/>
      </w:tblGrid>
      <w:tr w:rsidR="000E0D9D" w:rsidTr="000E0D9D">
        <w:trPr>
          <w:trHeight w:val="766"/>
        </w:trPr>
        <w:tc>
          <w:tcPr>
            <w:tcW w:w="705" w:type="dxa"/>
            <w:tcBorders>
              <w:left w:val="single" w:sz="4" w:space="0" w:color="FFFFFF" w:themeColor="background1"/>
            </w:tcBorders>
          </w:tcPr>
          <w:p w:rsidR="000E0D9D" w:rsidRPr="000E24F5" w:rsidRDefault="000E0D9D" w:rsidP="000E0D9D">
            <w:pPr>
              <w:jc w:val="center"/>
              <w:rPr>
                <w:sz w:val="20"/>
              </w:rPr>
            </w:pPr>
            <w:r w:rsidRPr="000E24F5">
              <w:rPr>
                <w:rFonts w:hint="eastAsia"/>
                <w:sz w:val="20"/>
              </w:rPr>
              <w:t>2014</w:t>
            </w:r>
          </w:p>
          <w:p w:rsidR="000E0D9D" w:rsidRPr="000E24F5" w:rsidRDefault="000E0D9D" w:rsidP="000E0D9D">
            <w:pPr>
              <w:jc w:val="center"/>
              <w:rPr>
                <w:sz w:val="20"/>
              </w:rPr>
            </w:pPr>
            <w:r w:rsidRPr="000E24F5">
              <w:rPr>
                <w:rFonts w:hint="eastAsia"/>
                <w:sz w:val="20"/>
              </w:rPr>
              <w:t>H26</w:t>
            </w:r>
          </w:p>
        </w:tc>
        <w:tc>
          <w:tcPr>
            <w:tcW w:w="684" w:type="dxa"/>
          </w:tcPr>
          <w:p w:rsidR="000E0D9D" w:rsidRPr="000E24F5" w:rsidRDefault="000E0D9D" w:rsidP="000E0D9D">
            <w:pPr>
              <w:jc w:val="center"/>
              <w:rPr>
                <w:sz w:val="20"/>
              </w:rPr>
            </w:pPr>
            <w:r w:rsidRPr="000E24F5">
              <w:rPr>
                <w:rFonts w:hint="eastAsia"/>
                <w:sz w:val="20"/>
              </w:rPr>
              <w:t>2015</w:t>
            </w:r>
          </w:p>
          <w:p w:rsidR="000E0D9D" w:rsidRPr="000E24F5" w:rsidRDefault="000E0D9D" w:rsidP="000E0D9D">
            <w:pPr>
              <w:jc w:val="center"/>
              <w:rPr>
                <w:sz w:val="20"/>
              </w:rPr>
            </w:pPr>
            <w:r w:rsidRPr="000E24F5">
              <w:rPr>
                <w:rFonts w:hint="eastAsia"/>
                <w:sz w:val="20"/>
              </w:rPr>
              <w:t>H</w:t>
            </w:r>
            <w:r w:rsidRPr="000E24F5">
              <w:rPr>
                <w:sz w:val="20"/>
              </w:rPr>
              <w:t>27</w:t>
            </w:r>
          </w:p>
        </w:tc>
        <w:tc>
          <w:tcPr>
            <w:tcW w:w="833" w:type="dxa"/>
          </w:tcPr>
          <w:p w:rsidR="000E0D9D" w:rsidRPr="000E24F5" w:rsidRDefault="000E0D9D" w:rsidP="000E0D9D">
            <w:pPr>
              <w:jc w:val="center"/>
              <w:rPr>
                <w:sz w:val="20"/>
              </w:rPr>
            </w:pPr>
            <w:r w:rsidRPr="000E24F5">
              <w:rPr>
                <w:rFonts w:hint="eastAsia"/>
                <w:sz w:val="20"/>
              </w:rPr>
              <w:t>2016</w:t>
            </w:r>
          </w:p>
          <w:p w:rsidR="000E0D9D" w:rsidRPr="000E24F5" w:rsidRDefault="000E0D9D" w:rsidP="000E0D9D">
            <w:pPr>
              <w:jc w:val="center"/>
              <w:rPr>
                <w:sz w:val="20"/>
              </w:rPr>
            </w:pPr>
            <w:r w:rsidRPr="000E24F5">
              <w:rPr>
                <w:rFonts w:hint="eastAsia"/>
                <w:sz w:val="20"/>
              </w:rPr>
              <w:t>H28</w:t>
            </w:r>
          </w:p>
        </w:tc>
        <w:tc>
          <w:tcPr>
            <w:tcW w:w="833" w:type="dxa"/>
          </w:tcPr>
          <w:p w:rsidR="000E0D9D" w:rsidRPr="000E24F5" w:rsidRDefault="000E0D9D" w:rsidP="000E0D9D">
            <w:pPr>
              <w:jc w:val="center"/>
              <w:rPr>
                <w:sz w:val="20"/>
              </w:rPr>
            </w:pPr>
            <w:r w:rsidRPr="000E24F5">
              <w:rPr>
                <w:rFonts w:hint="eastAsia"/>
                <w:sz w:val="20"/>
              </w:rPr>
              <w:t>2017</w:t>
            </w:r>
          </w:p>
          <w:p w:rsidR="000E0D9D" w:rsidRPr="000E24F5" w:rsidRDefault="000E0D9D" w:rsidP="000E0D9D">
            <w:pPr>
              <w:jc w:val="center"/>
              <w:rPr>
                <w:sz w:val="20"/>
              </w:rPr>
            </w:pPr>
            <w:r w:rsidRPr="000E24F5">
              <w:rPr>
                <w:rFonts w:hint="eastAsia"/>
                <w:sz w:val="20"/>
              </w:rPr>
              <w:t>H29</w:t>
            </w:r>
          </w:p>
        </w:tc>
        <w:tc>
          <w:tcPr>
            <w:tcW w:w="833" w:type="dxa"/>
          </w:tcPr>
          <w:p w:rsidR="000E0D9D" w:rsidRPr="000E24F5" w:rsidRDefault="000E0D9D" w:rsidP="000E0D9D">
            <w:pPr>
              <w:jc w:val="center"/>
              <w:rPr>
                <w:sz w:val="20"/>
              </w:rPr>
            </w:pPr>
            <w:r w:rsidRPr="000E24F5">
              <w:rPr>
                <w:rFonts w:hint="eastAsia"/>
                <w:sz w:val="20"/>
              </w:rPr>
              <w:t>2018</w:t>
            </w:r>
          </w:p>
          <w:p w:rsidR="000E0D9D" w:rsidRPr="000E24F5" w:rsidRDefault="000E0D9D" w:rsidP="000E0D9D">
            <w:pPr>
              <w:jc w:val="center"/>
              <w:rPr>
                <w:sz w:val="20"/>
              </w:rPr>
            </w:pPr>
            <w:r w:rsidRPr="000E24F5">
              <w:rPr>
                <w:rFonts w:hint="eastAsia"/>
                <w:sz w:val="20"/>
              </w:rPr>
              <w:t>H30</w:t>
            </w:r>
          </w:p>
        </w:tc>
        <w:tc>
          <w:tcPr>
            <w:tcW w:w="952" w:type="dxa"/>
          </w:tcPr>
          <w:p w:rsidR="000E0D9D" w:rsidRPr="000E24F5" w:rsidRDefault="000E0D9D" w:rsidP="000E0D9D">
            <w:pPr>
              <w:jc w:val="center"/>
              <w:rPr>
                <w:sz w:val="20"/>
              </w:rPr>
            </w:pPr>
            <w:r w:rsidRPr="000E24F5">
              <w:rPr>
                <w:rFonts w:hint="eastAsia"/>
                <w:sz w:val="20"/>
              </w:rPr>
              <w:t>2019</w:t>
            </w:r>
          </w:p>
          <w:p w:rsidR="000E0D9D" w:rsidRPr="000E24F5" w:rsidRDefault="000E0D9D" w:rsidP="000E0D9D">
            <w:pPr>
              <w:jc w:val="center"/>
              <w:rPr>
                <w:sz w:val="20"/>
              </w:rPr>
            </w:pPr>
            <w:r w:rsidRPr="000E24F5">
              <w:rPr>
                <w:rFonts w:hint="eastAsia"/>
                <w:sz w:val="20"/>
              </w:rPr>
              <w:t>H31/R1</w:t>
            </w:r>
          </w:p>
        </w:tc>
        <w:tc>
          <w:tcPr>
            <w:tcW w:w="830" w:type="dxa"/>
            <w:shd w:val="clear" w:color="auto" w:fill="FFFF00"/>
          </w:tcPr>
          <w:p w:rsidR="000E0D9D" w:rsidRPr="000E24F5" w:rsidRDefault="000E0D9D" w:rsidP="000E0D9D">
            <w:pPr>
              <w:jc w:val="center"/>
              <w:rPr>
                <w:sz w:val="20"/>
              </w:rPr>
            </w:pPr>
            <w:r w:rsidRPr="000E24F5">
              <w:rPr>
                <w:rFonts w:hint="eastAsia"/>
                <w:sz w:val="20"/>
              </w:rPr>
              <w:t>2020</w:t>
            </w:r>
          </w:p>
          <w:p w:rsidR="000E0D9D" w:rsidRPr="000E24F5" w:rsidRDefault="000E0D9D" w:rsidP="000E0D9D">
            <w:pPr>
              <w:jc w:val="center"/>
              <w:rPr>
                <w:sz w:val="20"/>
              </w:rPr>
            </w:pPr>
            <w:r w:rsidRPr="000E24F5">
              <w:rPr>
                <w:rFonts w:hint="eastAsia"/>
                <w:sz w:val="20"/>
              </w:rPr>
              <w:t>R2</w:t>
            </w:r>
          </w:p>
        </w:tc>
        <w:tc>
          <w:tcPr>
            <w:tcW w:w="851" w:type="dxa"/>
          </w:tcPr>
          <w:p w:rsidR="000E0D9D" w:rsidRPr="000E24F5" w:rsidRDefault="000E0D9D" w:rsidP="000E0D9D">
            <w:pPr>
              <w:jc w:val="center"/>
              <w:rPr>
                <w:sz w:val="20"/>
              </w:rPr>
            </w:pPr>
            <w:r w:rsidRPr="000E24F5">
              <w:rPr>
                <w:rFonts w:hint="eastAsia"/>
                <w:sz w:val="20"/>
              </w:rPr>
              <w:t>2021</w:t>
            </w:r>
          </w:p>
          <w:p w:rsidR="000E0D9D" w:rsidRPr="000E24F5" w:rsidRDefault="000E0D9D" w:rsidP="000E0D9D">
            <w:pPr>
              <w:jc w:val="center"/>
              <w:rPr>
                <w:sz w:val="20"/>
              </w:rPr>
            </w:pPr>
            <w:r w:rsidRPr="000E24F5">
              <w:rPr>
                <w:rFonts w:hint="eastAsia"/>
                <w:sz w:val="20"/>
              </w:rPr>
              <w:t>R3</w:t>
            </w:r>
          </w:p>
        </w:tc>
        <w:tc>
          <w:tcPr>
            <w:tcW w:w="709" w:type="dxa"/>
          </w:tcPr>
          <w:p w:rsidR="000E0D9D" w:rsidRPr="000E24F5" w:rsidRDefault="000E0D9D" w:rsidP="000E0D9D">
            <w:pPr>
              <w:jc w:val="center"/>
              <w:rPr>
                <w:sz w:val="20"/>
              </w:rPr>
            </w:pPr>
            <w:r w:rsidRPr="000E24F5">
              <w:rPr>
                <w:rFonts w:hint="eastAsia"/>
                <w:sz w:val="20"/>
              </w:rPr>
              <w:t>2022</w:t>
            </w:r>
          </w:p>
          <w:p w:rsidR="000E0D9D" w:rsidRPr="000E24F5" w:rsidRDefault="000E0D9D" w:rsidP="000E0D9D">
            <w:pPr>
              <w:jc w:val="center"/>
              <w:rPr>
                <w:sz w:val="20"/>
              </w:rPr>
            </w:pPr>
            <w:r w:rsidRPr="000E24F5">
              <w:rPr>
                <w:rFonts w:hint="eastAsia"/>
                <w:sz w:val="20"/>
              </w:rPr>
              <w:t>R4</w:t>
            </w:r>
          </w:p>
        </w:tc>
        <w:tc>
          <w:tcPr>
            <w:tcW w:w="1558" w:type="dxa"/>
            <w:tcBorders>
              <w:right w:val="single" w:sz="4" w:space="0" w:color="FFFFFF" w:themeColor="background1"/>
            </w:tcBorders>
          </w:tcPr>
          <w:p w:rsidR="000E0D9D" w:rsidRPr="000E24F5" w:rsidRDefault="000E0D9D" w:rsidP="000E0D9D">
            <w:pPr>
              <w:jc w:val="center"/>
              <w:rPr>
                <w:sz w:val="20"/>
              </w:rPr>
            </w:pPr>
            <w:r w:rsidRPr="000E24F5">
              <w:rPr>
                <w:rFonts w:hint="eastAsia"/>
                <w:sz w:val="20"/>
              </w:rPr>
              <w:t>2023</w:t>
            </w:r>
          </w:p>
          <w:p w:rsidR="000E0D9D" w:rsidRPr="000E24F5" w:rsidRDefault="000E0D9D" w:rsidP="000E0D9D">
            <w:pPr>
              <w:jc w:val="center"/>
              <w:rPr>
                <w:sz w:val="20"/>
              </w:rPr>
            </w:pPr>
            <w:r w:rsidRPr="000E24F5">
              <w:rPr>
                <w:rFonts w:hint="eastAsia"/>
                <w:sz w:val="20"/>
              </w:rPr>
              <w:t>R5</w:t>
            </w:r>
          </w:p>
        </w:tc>
      </w:tr>
      <w:tr w:rsidR="000E0D9D" w:rsidTr="000E0D9D">
        <w:trPr>
          <w:trHeight w:val="386"/>
        </w:trPr>
        <w:tc>
          <w:tcPr>
            <w:tcW w:w="705" w:type="dxa"/>
            <w:tcBorders>
              <w:left w:val="single" w:sz="4" w:space="0" w:color="FFFFFF" w:themeColor="background1"/>
              <w:right w:val="single" w:sz="4" w:space="0" w:color="FFFFFF" w:themeColor="background1"/>
            </w:tcBorders>
          </w:tcPr>
          <w:p w:rsidR="000E0D9D" w:rsidRPr="000E24F5" w:rsidRDefault="000E0D9D">
            <w:pPr>
              <w:rPr>
                <w:sz w:val="20"/>
              </w:rPr>
            </w:pPr>
          </w:p>
        </w:tc>
        <w:tc>
          <w:tcPr>
            <w:tcW w:w="684" w:type="dxa"/>
            <w:tcBorders>
              <w:left w:val="single" w:sz="4" w:space="0" w:color="FFFFFF" w:themeColor="background1"/>
              <w:right w:val="single" w:sz="4" w:space="0" w:color="FFFFFF" w:themeColor="background1"/>
            </w:tcBorders>
          </w:tcPr>
          <w:p w:rsidR="000E0D9D" w:rsidRPr="000E24F5" w:rsidRDefault="000E0D9D">
            <w:pPr>
              <w:rPr>
                <w:sz w:val="20"/>
              </w:rPr>
            </w:pPr>
          </w:p>
        </w:tc>
        <w:tc>
          <w:tcPr>
            <w:tcW w:w="833" w:type="dxa"/>
            <w:tcBorders>
              <w:left w:val="single" w:sz="4" w:space="0" w:color="FFFFFF" w:themeColor="background1"/>
              <w:right w:val="single" w:sz="4" w:space="0" w:color="FFFFFF" w:themeColor="background1"/>
            </w:tcBorders>
          </w:tcPr>
          <w:p w:rsidR="000E0D9D" w:rsidRPr="000E24F5" w:rsidRDefault="000E0D9D">
            <w:pPr>
              <w:rPr>
                <w:sz w:val="20"/>
              </w:rPr>
            </w:pPr>
          </w:p>
        </w:tc>
        <w:tc>
          <w:tcPr>
            <w:tcW w:w="833" w:type="dxa"/>
            <w:tcBorders>
              <w:left w:val="single" w:sz="4" w:space="0" w:color="FFFFFF" w:themeColor="background1"/>
              <w:right w:val="single" w:sz="4" w:space="0" w:color="FFFFFF" w:themeColor="background1"/>
            </w:tcBorders>
          </w:tcPr>
          <w:p w:rsidR="000E0D9D" w:rsidRPr="000E24F5" w:rsidRDefault="000E0D9D">
            <w:pPr>
              <w:rPr>
                <w:sz w:val="20"/>
              </w:rPr>
            </w:pPr>
          </w:p>
        </w:tc>
        <w:tc>
          <w:tcPr>
            <w:tcW w:w="833" w:type="dxa"/>
            <w:tcBorders>
              <w:left w:val="single" w:sz="4" w:space="0" w:color="FFFFFF" w:themeColor="background1"/>
              <w:right w:val="single" w:sz="4" w:space="0" w:color="FFFFFF" w:themeColor="background1"/>
            </w:tcBorders>
          </w:tcPr>
          <w:p w:rsidR="000E0D9D" w:rsidRPr="000E24F5" w:rsidRDefault="000E0D9D">
            <w:pPr>
              <w:rPr>
                <w:sz w:val="20"/>
              </w:rPr>
            </w:pPr>
          </w:p>
        </w:tc>
        <w:tc>
          <w:tcPr>
            <w:tcW w:w="952" w:type="dxa"/>
            <w:tcBorders>
              <w:left w:val="single" w:sz="4" w:space="0" w:color="FFFFFF" w:themeColor="background1"/>
              <w:right w:val="single" w:sz="4" w:space="0" w:color="FFFFFF" w:themeColor="background1"/>
            </w:tcBorders>
          </w:tcPr>
          <w:p w:rsidR="000E0D9D" w:rsidRPr="000E24F5" w:rsidRDefault="000E0D9D">
            <w:pPr>
              <w:rPr>
                <w:sz w:val="20"/>
              </w:rPr>
            </w:pPr>
          </w:p>
        </w:tc>
        <w:tc>
          <w:tcPr>
            <w:tcW w:w="830" w:type="dxa"/>
            <w:tcBorders>
              <w:left w:val="single" w:sz="4" w:space="0" w:color="FFFFFF" w:themeColor="background1"/>
              <w:right w:val="single" w:sz="4" w:space="0" w:color="FFFFFF" w:themeColor="background1"/>
            </w:tcBorders>
          </w:tcPr>
          <w:p w:rsidR="000E0D9D" w:rsidRPr="000E24F5" w:rsidRDefault="000E0D9D">
            <w:pPr>
              <w:rPr>
                <w:sz w:val="20"/>
              </w:rPr>
            </w:pPr>
          </w:p>
        </w:tc>
        <w:tc>
          <w:tcPr>
            <w:tcW w:w="851" w:type="dxa"/>
            <w:tcBorders>
              <w:left w:val="single" w:sz="4" w:space="0" w:color="FFFFFF" w:themeColor="background1"/>
              <w:right w:val="single" w:sz="4" w:space="0" w:color="FFFFFF" w:themeColor="background1"/>
            </w:tcBorders>
          </w:tcPr>
          <w:p w:rsidR="000E0D9D" w:rsidRPr="000E24F5" w:rsidRDefault="000E0D9D">
            <w:pPr>
              <w:rPr>
                <w:sz w:val="20"/>
              </w:rPr>
            </w:pPr>
          </w:p>
        </w:tc>
        <w:tc>
          <w:tcPr>
            <w:tcW w:w="709" w:type="dxa"/>
            <w:tcBorders>
              <w:left w:val="single" w:sz="4" w:space="0" w:color="FFFFFF" w:themeColor="background1"/>
              <w:right w:val="single" w:sz="4" w:space="0" w:color="FFFFFF" w:themeColor="background1"/>
            </w:tcBorders>
          </w:tcPr>
          <w:p w:rsidR="000E0D9D" w:rsidRPr="000E24F5" w:rsidRDefault="000E0D9D">
            <w:pPr>
              <w:rPr>
                <w:sz w:val="20"/>
              </w:rPr>
            </w:pPr>
          </w:p>
        </w:tc>
        <w:tc>
          <w:tcPr>
            <w:tcW w:w="1558" w:type="dxa"/>
            <w:tcBorders>
              <w:left w:val="single" w:sz="4" w:space="0" w:color="FFFFFF" w:themeColor="background1"/>
              <w:right w:val="single" w:sz="4" w:space="0" w:color="FFFFFF" w:themeColor="background1"/>
            </w:tcBorders>
          </w:tcPr>
          <w:p w:rsidR="000E0D9D" w:rsidRPr="000E24F5" w:rsidRDefault="000E0D9D">
            <w:pPr>
              <w:rPr>
                <w:sz w:val="20"/>
              </w:rPr>
            </w:pPr>
          </w:p>
        </w:tc>
      </w:tr>
      <w:tr w:rsidR="000E0D9D" w:rsidTr="000E0D9D">
        <w:trPr>
          <w:trHeight w:val="810"/>
        </w:trPr>
        <w:tc>
          <w:tcPr>
            <w:tcW w:w="5670" w:type="dxa"/>
            <w:gridSpan w:val="7"/>
            <w:tcBorders>
              <w:left w:val="single" w:sz="4" w:space="0" w:color="FFFFFF" w:themeColor="background1"/>
            </w:tcBorders>
            <w:vAlign w:val="center"/>
          </w:tcPr>
          <w:p w:rsidR="000E0D9D" w:rsidRPr="000E24F5" w:rsidRDefault="000E0D9D" w:rsidP="000E0D9D">
            <w:pPr>
              <w:jc w:val="center"/>
              <w:rPr>
                <w:sz w:val="20"/>
              </w:rPr>
            </w:pPr>
            <w:r w:rsidRPr="000E24F5">
              <w:rPr>
                <w:rFonts w:hint="eastAsia"/>
                <w:sz w:val="20"/>
              </w:rPr>
              <w:t>第５期中富良野町</w:t>
            </w:r>
          </w:p>
          <w:p w:rsidR="000E0D9D" w:rsidRPr="000E24F5" w:rsidRDefault="000E0D9D" w:rsidP="000E0D9D">
            <w:pPr>
              <w:jc w:val="center"/>
              <w:rPr>
                <w:sz w:val="20"/>
              </w:rPr>
            </w:pPr>
            <w:r w:rsidRPr="000E24F5">
              <w:rPr>
                <w:rFonts w:hint="eastAsia"/>
                <w:sz w:val="20"/>
              </w:rPr>
              <w:t>まちづくり総合計画</w:t>
            </w:r>
          </w:p>
        </w:tc>
        <w:tc>
          <w:tcPr>
            <w:tcW w:w="3118" w:type="dxa"/>
            <w:gridSpan w:val="3"/>
            <w:tcBorders>
              <w:right w:val="single" w:sz="4" w:space="0" w:color="FFFFFF" w:themeColor="background1"/>
            </w:tcBorders>
            <w:vAlign w:val="center"/>
          </w:tcPr>
          <w:p w:rsidR="000E0D9D" w:rsidRPr="000E24F5" w:rsidRDefault="000E0D9D" w:rsidP="000E0D9D">
            <w:pPr>
              <w:jc w:val="center"/>
              <w:rPr>
                <w:sz w:val="20"/>
              </w:rPr>
            </w:pPr>
            <w:r w:rsidRPr="000E24F5">
              <w:rPr>
                <w:sz w:val="20"/>
              </w:rPr>
              <w:t>第６期中富良野町</w:t>
            </w:r>
          </w:p>
          <w:p w:rsidR="000E0D9D" w:rsidRPr="000E24F5" w:rsidRDefault="000E0D9D" w:rsidP="000E0D9D">
            <w:pPr>
              <w:jc w:val="center"/>
              <w:rPr>
                <w:sz w:val="20"/>
              </w:rPr>
            </w:pPr>
            <w:r w:rsidRPr="000E24F5">
              <w:rPr>
                <w:sz w:val="20"/>
              </w:rPr>
              <w:t>まちづくり総合計画</w:t>
            </w:r>
          </w:p>
        </w:tc>
      </w:tr>
      <w:tr w:rsidR="00055E08" w:rsidTr="00D70698">
        <w:trPr>
          <w:trHeight w:val="553"/>
        </w:trPr>
        <w:tc>
          <w:tcPr>
            <w:tcW w:w="705" w:type="dxa"/>
            <w:tcBorders>
              <w:left w:val="single" w:sz="4" w:space="0" w:color="FFFFFF" w:themeColor="background1"/>
              <w:bottom w:val="single" w:sz="4" w:space="0" w:color="FFFFFF" w:themeColor="background1"/>
              <w:right w:val="single" w:sz="4" w:space="0" w:color="FFFFFF" w:themeColor="background1"/>
            </w:tcBorders>
            <w:vAlign w:val="center"/>
          </w:tcPr>
          <w:p w:rsidR="00055E08" w:rsidRPr="000E24F5" w:rsidRDefault="00055E08" w:rsidP="000E0D9D">
            <w:pPr>
              <w:jc w:val="center"/>
              <w:rPr>
                <w:sz w:val="20"/>
              </w:rPr>
            </w:pPr>
          </w:p>
        </w:tc>
        <w:tc>
          <w:tcPr>
            <w:tcW w:w="684" w:type="dxa"/>
            <w:tcBorders>
              <w:left w:val="single" w:sz="4" w:space="0" w:color="FFFFFF" w:themeColor="background1"/>
              <w:right w:val="single" w:sz="4" w:space="0" w:color="FFFFFF" w:themeColor="background1"/>
            </w:tcBorders>
            <w:vAlign w:val="center"/>
          </w:tcPr>
          <w:p w:rsidR="00055E08" w:rsidRPr="000E24F5" w:rsidRDefault="00055E08" w:rsidP="000E0D9D">
            <w:pPr>
              <w:jc w:val="center"/>
              <w:rPr>
                <w:sz w:val="20"/>
              </w:rPr>
            </w:pPr>
          </w:p>
        </w:tc>
        <w:tc>
          <w:tcPr>
            <w:tcW w:w="833" w:type="dxa"/>
            <w:tcBorders>
              <w:left w:val="single" w:sz="4" w:space="0" w:color="FFFFFF" w:themeColor="background1"/>
              <w:right w:val="single" w:sz="4" w:space="0" w:color="FFFFFF" w:themeColor="background1"/>
            </w:tcBorders>
            <w:vAlign w:val="center"/>
          </w:tcPr>
          <w:p w:rsidR="00055E08" w:rsidRPr="000E24F5" w:rsidRDefault="00055E08" w:rsidP="000E0D9D">
            <w:pPr>
              <w:jc w:val="center"/>
              <w:rPr>
                <w:sz w:val="20"/>
              </w:rPr>
            </w:pPr>
          </w:p>
        </w:tc>
        <w:tc>
          <w:tcPr>
            <w:tcW w:w="833" w:type="dxa"/>
            <w:tcBorders>
              <w:left w:val="single" w:sz="4" w:space="0" w:color="FFFFFF" w:themeColor="background1"/>
              <w:right w:val="single" w:sz="4" w:space="0" w:color="FFFFFF" w:themeColor="background1"/>
            </w:tcBorders>
            <w:vAlign w:val="center"/>
          </w:tcPr>
          <w:p w:rsidR="00055E08" w:rsidRPr="000E24F5" w:rsidRDefault="00055E08" w:rsidP="000E0D9D">
            <w:pPr>
              <w:jc w:val="center"/>
              <w:rPr>
                <w:sz w:val="20"/>
              </w:rPr>
            </w:pPr>
          </w:p>
        </w:tc>
        <w:tc>
          <w:tcPr>
            <w:tcW w:w="833" w:type="dxa"/>
            <w:tcBorders>
              <w:left w:val="single" w:sz="4" w:space="0" w:color="FFFFFF" w:themeColor="background1"/>
              <w:right w:val="single" w:sz="4" w:space="0" w:color="FFFFFF" w:themeColor="background1"/>
            </w:tcBorders>
            <w:vAlign w:val="center"/>
          </w:tcPr>
          <w:p w:rsidR="00055E08" w:rsidRPr="000E24F5" w:rsidRDefault="00055E08" w:rsidP="000E0D9D">
            <w:pPr>
              <w:jc w:val="center"/>
              <w:rPr>
                <w:sz w:val="20"/>
              </w:rPr>
            </w:pPr>
          </w:p>
        </w:tc>
        <w:tc>
          <w:tcPr>
            <w:tcW w:w="952" w:type="dxa"/>
            <w:tcBorders>
              <w:left w:val="single" w:sz="4" w:space="0" w:color="FFFFFF" w:themeColor="background1"/>
              <w:right w:val="single" w:sz="4" w:space="0" w:color="FFFFFF" w:themeColor="background1"/>
            </w:tcBorders>
            <w:vAlign w:val="center"/>
          </w:tcPr>
          <w:p w:rsidR="00055E08" w:rsidRPr="000E24F5" w:rsidRDefault="00055E08" w:rsidP="000E0D9D">
            <w:pPr>
              <w:jc w:val="center"/>
              <w:rPr>
                <w:sz w:val="20"/>
              </w:rPr>
            </w:pPr>
          </w:p>
        </w:tc>
        <w:tc>
          <w:tcPr>
            <w:tcW w:w="830" w:type="dxa"/>
            <w:tcBorders>
              <w:left w:val="single" w:sz="4" w:space="0" w:color="FFFFFF" w:themeColor="background1"/>
              <w:right w:val="single" w:sz="4" w:space="0" w:color="FFFFFF" w:themeColor="background1"/>
            </w:tcBorders>
            <w:vAlign w:val="center"/>
          </w:tcPr>
          <w:p w:rsidR="00055E08" w:rsidRPr="000E24F5" w:rsidRDefault="00055E08" w:rsidP="000E0D9D">
            <w:pPr>
              <w:jc w:val="center"/>
              <w:rPr>
                <w:sz w:val="20"/>
              </w:rPr>
            </w:pPr>
          </w:p>
        </w:tc>
        <w:tc>
          <w:tcPr>
            <w:tcW w:w="3118" w:type="dxa"/>
            <w:gridSpan w:val="3"/>
            <w:tcBorders>
              <w:left w:val="single" w:sz="4" w:space="0" w:color="FFFFFF" w:themeColor="background1"/>
              <w:right w:val="single" w:sz="4" w:space="0" w:color="FFFFFF" w:themeColor="background1"/>
            </w:tcBorders>
            <w:vAlign w:val="center"/>
          </w:tcPr>
          <w:p w:rsidR="00055E08" w:rsidRPr="000E24F5" w:rsidRDefault="00055E08" w:rsidP="00055E08">
            <w:pPr>
              <w:spacing w:line="460" w:lineRule="exact"/>
              <w:jc w:val="center"/>
              <w:rPr>
                <w:sz w:val="20"/>
              </w:rPr>
            </w:pPr>
            <w:r w:rsidRPr="000E24F5">
              <w:rPr>
                <w:noProof/>
                <w:sz w:val="20"/>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1905</wp:posOffset>
                      </wp:positionV>
                      <wp:extent cx="161925" cy="333375"/>
                      <wp:effectExtent l="19050" t="19050" r="47625" b="47625"/>
                      <wp:wrapNone/>
                      <wp:docPr id="2" name="上下矢印 2"/>
                      <wp:cNvGraphicFramePr/>
                      <a:graphic xmlns:a="http://schemas.openxmlformats.org/drawingml/2006/main">
                        <a:graphicData uri="http://schemas.microsoft.com/office/word/2010/wordprocessingShape">
                          <wps:wsp>
                            <wps:cNvSpPr/>
                            <wps:spPr>
                              <a:xfrm>
                                <a:off x="0" y="0"/>
                                <a:ext cx="161925" cy="3333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7F54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 o:spid="_x0000_s1026" type="#_x0000_t70" style="position:absolute;left:0;text-align:left;margin-left:7.3pt;margin-top:.15pt;width:12.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" adj=",5246" fillcolor="#5b9bd5 [3204]" strokecolor="#1f4d78 [1604]" strokeweight="1pt"/>
                  </w:pict>
                </mc:Fallback>
              </mc:AlternateContent>
            </w:r>
            <w:r w:rsidRPr="000E24F5">
              <w:rPr>
                <w:sz w:val="20"/>
              </w:rPr>
              <w:t>整合性を図る</w:t>
            </w:r>
          </w:p>
        </w:tc>
      </w:tr>
      <w:tr w:rsidR="000E0D9D" w:rsidTr="000E0D9D">
        <w:trPr>
          <w:trHeight w:val="614"/>
        </w:trPr>
        <w:tc>
          <w:tcPr>
            <w:tcW w:w="705" w:type="dxa"/>
            <w:tcBorders>
              <w:top w:val="single" w:sz="4" w:space="0" w:color="FFFFFF" w:themeColor="background1"/>
              <w:left w:val="single" w:sz="4" w:space="0" w:color="FFFFFF" w:themeColor="background1"/>
              <w:bottom w:val="single" w:sz="4" w:space="0" w:color="FFFFFF" w:themeColor="background1"/>
            </w:tcBorders>
            <w:vAlign w:val="center"/>
          </w:tcPr>
          <w:p w:rsidR="000E0D9D" w:rsidRPr="000E24F5" w:rsidRDefault="000E0D9D" w:rsidP="000E0D9D">
            <w:pPr>
              <w:jc w:val="center"/>
              <w:rPr>
                <w:sz w:val="20"/>
              </w:rPr>
            </w:pPr>
          </w:p>
        </w:tc>
        <w:tc>
          <w:tcPr>
            <w:tcW w:w="4135" w:type="dxa"/>
            <w:gridSpan w:val="5"/>
            <w:vAlign w:val="center"/>
          </w:tcPr>
          <w:p w:rsidR="000E0D9D" w:rsidRPr="000E24F5" w:rsidRDefault="000E0D9D" w:rsidP="000E0D9D">
            <w:pPr>
              <w:jc w:val="center"/>
              <w:rPr>
                <w:sz w:val="20"/>
              </w:rPr>
            </w:pPr>
            <w:r w:rsidRPr="000E24F5">
              <w:rPr>
                <w:sz w:val="20"/>
              </w:rPr>
              <w:t>現行</w:t>
            </w:r>
          </w:p>
          <w:p w:rsidR="000E0D9D" w:rsidRPr="000E24F5" w:rsidRDefault="000E0D9D" w:rsidP="000E0D9D">
            <w:pPr>
              <w:jc w:val="center"/>
              <w:rPr>
                <w:sz w:val="20"/>
              </w:rPr>
            </w:pPr>
            <w:r w:rsidRPr="000E24F5">
              <w:rPr>
                <w:sz w:val="20"/>
              </w:rPr>
              <w:t>「中富良野町地域総合戦略」</w:t>
            </w:r>
          </w:p>
        </w:tc>
        <w:tc>
          <w:tcPr>
            <w:tcW w:w="830" w:type="dxa"/>
            <w:shd w:val="clear" w:color="auto" w:fill="FFFF00"/>
            <w:vAlign w:val="center"/>
          </w:tcPr>
          <w:p w:rsidR="000E0D9D" w:rsidRPr="000E24F5" w:rsidRDefault="000E0D9D" w:rsidP="000E0D9D">
            <w:pPr>
              <w:jc w:val="center"/>
              <w:rPr>
                <w:b/>
                <w:sz w:val="20"/>
              </w:rPr>
            </w:pPr>
            <w:r w:rsidRPr="000E24F5">
              <w:rPr>
                <w:b/>
                <w:sz w:val="20"/>
              </w:rPr>
              <w:t>１年</w:t>
            </w:r>
          </w:p>
          <w:p w:rsidR="000E0D9D" w:rsidRPr="000E24F5" w:rsidRDefault="000E0D9D" w:rsidP="000E0D9D">
            <w:pPr>
              <w:jc w:val="center"/>
              <w:rPr>
                <w:sz w:val="20"/>
              </w:rPr>
            </w:pPr>
            <w:r w:rsidRPr="000E24F5">
              <w:rPr>
                <w:b/>
                <w:sz w:val="20"/>
              </w:rPr>
              <w:t>延長</w:t>
            </w:r>
          </w:p>
        </w:tc>
        <w:tc>
          <w:tcPr>
            <w:tcW w:w="3118" w:type="dxa"/>
            <w:gridSpan w:val="3"/>
            <w:tcBorders>
              <w:right w:val="single" w:sz="4" w:space="0" w:color="FFFFFF" w:themeColor="background1"/>
            </w:tcBorders>
            <w:vAlign w:val="center"/>
          </w:tcPr>
          <w:p w:rsidR="000E0D9D" w:rsidRPr="000E24F5" w:rsidRDefault="000E0D9D" w:rsidP="000E0D9D">
            <w:pPr>
              <w:jc w:val="center"/>
              <w:rPr>
                <w:sz w:val="20"/>
              </w:rPr>
            </w:pPr>
            <w:r w:rsidRPr="000E24F5">
              <w:rPr>
                <w:sz w:val="20"/>
              </w:rPr>
              <w:t>次期</w:t>
            </w:r>
          </w:p>
          <w:p w:rsidR="000E0D9D" w:rsidRPr="000E24F5" w:rsidRDefault="000E0D9D" w:rsidP="000E0D9D">
            <w:pPr>
              <w:jc w:val="center"/>
              <w:rPr>
                <w:sz w:val="20"/>
              </w:rPr>
            </w:pPr>
            <w:r w:rsidRPr="000E24F5">
              <w:rPr>
                <w:sz w:val="20"/>
              </w:rPr>
              <w:t>「中富良野町地域総合戦略」</w:t>
            </w:r>
          </w:p>
        </w:tc>
      </w:tr>
    </w:tbl>
    <w:p w:rsidR="00237623" w:rsidRDefault="00237623" w:rsidP="00055E08"/>
    <w:p w:rsidR="00237623" w:rsidRDefault="00237623">
      <w:pPr>
        <w:widowControl/>
        <w:jc w:val="left"/>
      </w:pPr>
      <w:r>
        <w:br w:type="page"/>
      </w:r>
    </w:p>
    <w:p w:rsidR="000E0D9D" w:rsidRPr="000E24F5" w:rsidRDefault="00237623" w:rsidP="00055E08">
      <w:pPr>
        <w:rPr>
          <w:b/>
          <w:sz w:val="24"/>
        </w:rPr>
      </w:pPr>
      <w:r w:rsidRPr="000E24F5">
        <w:rPr>
          <w:b/>
          <w:sz w:val="24"/>
        </w:rPr>
        <w:lastRenderedPageBreak/>
        <w:t>３．延長に伴う見直し</w:t>
      </w:r>
    </w:p>
    <w:p w:rsidR="00237623" w:rsidRDefault="00237623" w:rsidP="00055E08"/>
    <w:p w:rsidR="00237623" w:rsidRDefault="00237623" w:rsidP="00055E08">
      <w:r>
        <w:rPr>
          <w:rFonts w:hint="eastAsia"/>
        </w:rPr>
        <w:t>①主な施策について</w:t>
      </w:r>
    </w:p>
    <w:p w:rsidR="00237623" w:rsidRDefault="00237623" w:rsidP="004A6EE8">
      <w:pPr>
        <w:ind w:leftChars="2" w:left="405" w:hangingChars="191" w:hanging="401"/>
      </w:pPr>
      <w:r>
        <w:t xml:space="preserve">　・現在掲げている施策を基本とするが、</w:t>
      </w:r>
      <w:r w:rsidR="004A6EE8">
        <w:rPr>
          <w:rFonts w:hint="eastAsia"/>
        </w:rPr>
        <w:t>2020</w:t>
      </w:r>
      <w:r w:rsidR="0027275C">
        <w:t>年度までに、新たに推進する重点施策や地方創生推進交付金、企業版ふるさと納税の対象となる事業などについては、必要に応じて追加等を検討します。</w:t>
      </w:r>
    </w:p>
    <w:p w:rsidR="0027275C" w:rsidRDefault="0027275C" w:rsidP="0027275C">
      <w:pPr>
        <w:ind w:left="420" w:hangingChars="200" w:hanging="420"/>
      </w:pPr>
    </w:p>
    <w:p w:rsidR="0027275C" w:rsidRDefault="0027275C" w:rsidP="0027275C">
      <w:pPr>
        <w:ind w:left="420" w:hangingChars="200" w:hanging="420"/>
      </w:pPr>
      <w:r>
        <w:rPr>
          <w:rFonts w:hint="eastAsia"/>
        </w:rPr>
        <w:t>②人口の</w:t>
      </w:r>
      <w:r w:rsidR="004A6EE8">
        <w:rPr>
          <w:rFonts w:hint="eastAsia"/>
        </w:rPr>
        <w:t>将来展望について</w:t>
      </w:r>
    </w:p>
    <w:p w:rsidR="004A6EE8" w:rsidRDefault="004A6EE8" w:rsidP="0027275C">
      <w:pPr>
        <w:ind w:left="420" w:hangingChars="200" w:hanging="420"/>
      </w:pPr>
      <w:r>
        <w:t xml:space="preserve">　・「中富良野町</w:t>
      </w:r>
      <w:r>
        <w:rPr>
          <w:rFonts w:hint="eastAsia"/>
        </w:rPr>
        <w:t>地方人口ビジョン</w:t>
      </w:r>
      <w:r>
        <w:t>」で示した、</w:t>
      </w:r>
      <w:r>
        <w:rPr>
          <w:rFonts w:hint="eastAsia"/>
        </w:rPr>
        <w:t>2060</w:t>
      </w:r>
      <w:r>
        <w:rPr>
          <w:rFonts w:hint="eastAsia"/>
        </w:rPr>
        <w:t>年に</w:t>
      </w:r>
      <w:r>
        <w:rPr>
          <w:rFonts w:hint="eastAsia"/>
        </w:rPr>
        <w:t>3,449</w:t>
      </w:r>
      <w:r>
        <w:rPr>
          <w:rFonts w:hint="eastAsia"/>
        </w:rPr>
        <w:t>人という将来人口の展望は、原則として変更せず、次期計画の策定において新たに検討します。</w:t>
      </w:r>
    </w:p>
    <w:p w:rsidR="004A6EE8" w:rsidRDefault="004A6EE8" w:rsidP="0027275C">
      <w:pPr>
        <w:ind w:left="420" w:hangingChars="200" w:hanging="420"/>
      </w:pPr>
      <w:r>
        <w:t xml:space="preserve">　・検討にあたっては、平成</w:t>
      </w:r>
      <w:r>
        <w:rPr>
          <w:rFonts w:hint="eastAsia"/>
        </w:rPr>
        <w:t>27</w:t>
      </w:r>
      <w:r>
        <w:rPr>
          <w:rFonts w:hint="eastAsia"/>
        </w:rPr>
        <w:t>（</w:t>
      </w:r>
      <w:r>
        <w:rPr>
          <w:rFonts w:hint="eastAsia"/>
        </w:rPr>
        <w:t>2015</w:t>
      </w:r>
      <w:r>
        <w:rPr>
          <w:rFonts w:hint="eastAsia"/>
        </w:rPr>
        <w:t>）年国勢調査時点での修正を基本とします。</w:t>
      </w:r>
    </w:p>
    <w:p w:rsidR="004A6EE8" w:rsidRDefault="004A6EE8" w:rsidP="0027275C">
      <w:pPr>
        <w:ind w:left="420" w:hangingChars="200" w:hanging="420"/>
      </w:pPr>
    </w:p>
    <w:p w:rsidR="004A6EE8" w:rsidRDefault="004A6EE8" w:rsidP="0027275C">
      <w:pPr>
        <w:ind w:left="420" w:hangingChars="200" w:hanging="420"/>
      </w:pPr>
      <w:r>
        <w:rPr>
          <w:rFonts w:hint="eastAsia"/>
        </w:rPr>
        <w:t>③延長する期間の数値目標・ＫＰＩの設定について</w:t>
      </w:r>
    </w:p>
    <w:p w:rsidR="004A6EE8" w:rsidRDefault="004A6EE8" w:rsidP="0027275C">
      <w:pPr>
        <w:ind w:left="420" w:hangingChars="200" w:hanging="420"/>
      </w:pPr>
      <w:r>
        <w:t xml:space="preserve">　・基本的には、方向性を引き継ぎつつ、期間延長分の目標値を設定することを前提とするが、これまでの効果を踏まえ、必要に応じて改訂します。</w:t>
      </w:r>
    </w:p>
    <w:p w:rsidR="004A6EE8" w:rsidRDefault="004A6EE8" w:rsidP="004A6EE8">
      <w:pPr>
        <w:ind w:left="378" w:hangingChars="180" w:hanging="378"/>
      </w:pPr>
      <w:r>
        <w:t xml:space="preserve">　・新たな数値目標・ＫＰＩについては、原則</w:t>
      </w:r>
      <w:r>
        <w:rPr>
          <w:rFonts w:hint="eastAsia"/>
        </w:rPr>
        <w:t>令和３（</w:t>
      </w:r>
      <w:r>
        <w:rPr>
          <w:rFonts w:hint="eastAsia"/>
        </w:rPr>
        <w:t>2021</w:t>
      </w:r>
      <w:r>
        <w:rPr>
          <w:rFonts w:hint="eastAsia"/>
        </w:rPr>
        <w:t>）年度からの次期総合計画で行うが、事業の追加、削除など必要がある場合は見直しを検討します。</w:t>
      </w:r>
    </w:p>
    <w:p w:rsidR="004A6EE8" w:rsidRDefault="004A6EE8" w:rsidP="004A6EE8">
      <w:pPr>
        <w:ind w:left="378" w:hangingChars="180" w:hanging="378"/>
      </w:pPr>
    </w:p>
    <w:p w:rsidR="004A6EE8" w:rsidRDefault="004A6EE8" w:rsidP="004A6EE8">
      <w:pPr>
        <w:ind w:left="378" w:hangingChars="180" w:hanging="378"/>
      </w:pPr>
      <w:r>
        <w:rPr>
          <w:rFonts w:hint="eastAsia"/>
        </w:rPr>
        <w:t>④評価の検証について</w:t>
      </w:r>
    </w:p>
    <w:p w:rsidR="004A6EE8" w:rsidRDefault="004A6EE8" w:rsidP="004A6EE8">
      <w:pPr>
        <w:ind w:left="378" w:hangingChars="180" w:hanging="378"/>
      </w:pPr>
      <w:r>
        <w:t xml:space="preserve">　・現行の総合戦略については、毎年度ごとに「まちづくり策定委員会」において</w:t>
      </w:r>
      <w:r w:rsidR="000E24F5">
        <w:t>基本目標指標、ＫＰＩの達成状況などを評価していますが、期間延長に伴い、令和２（</w:t>
      </w:r>
      <w:r w:rsidR="000E24F5">
        <w:rPr>
          <w:rFonts w:hint="eastAsia"/>
        </w:rPr>
        <w:t>2020</w:t>
      </w:r>
      <w:r w:rsidR="000E24F5">
        <w:rPr>
          <w:rFonts w:hint="eastAsia"/>
        </w:rPr>
        <w:t>）年に６年間の総括を行うこととします。</w:t>
      </w:r>
    </w:p>
    <w:p w:rsidR="004A6EE8" w:rsidRDefault="004A6EE8" w:rsidP="0027275C">
      <w:pPr>
        <w:ind w:left="420" w:hangingChars="200" w:hanging="420"/>
      </w:pPr>
    </w:p>
    <w:sectPr w:rsidR="004A6E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2D"/>
    <w:rsid w:val="00055E08"/>
    <w:rsid w:val="000A33CC"/>
    <w:rsid w:val="000E0D9D"/>
    <w:rsid w:val="000E24F5"/>
    <w:rsid w:val="00237623"/>
    <w:rsid w:val="0027275C"/>
    <w:rsid w:val="003526AC"/>
    <w:rsid w:val="00371B0A"/>
    <w:rsid w:val="004A6EE8"/>
    <w:rsid w:val="00572DFA"/>
    <w:rsid w:val="006A0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F2453B-C04C-44CD-82DF-ECB6C35A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5E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5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2F57-75B0-4FC1-87B7-525EEA80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426筒井 祐介ts</dc:creator>
  <cp:keywords/>
  <dc:description/>
  <cp:lastModifiedBy>426筒井 祐介ts</cp:lastModifiedBy>
  <cp:revision>3</cp:revision>
  <cp:lastPrinted>2020-03-13T09:38:00Z</cp:lastPrinted>
  <dcterms:created xsi:type="dcterms:W3CDTF">2020-01-18T00:24:00Z</dcterms:created>
  <dcterms:modified xsi:type="dcterms:W3CDTF">2020-03-13T09:44:00Z</dcterms:modified>
</cp:coreProperties>
</file>